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99" w:rsidRPr="00373599" w:rsidRDefault="00373599" w:rsidP="00373599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fr-BE"/>
        </w:rPr>
      </w:pPr>
      <w:r w:rsidRPr="00373599">
        <w:rPr>
          <w:rFonts w:eastAsia="Times New Roman" w:cstheme="minorHAnsi"/>
          <w:b/>
          <w:color w:val="000000"/>
          <w:kern w:val="36"/>
          <w:sz w:val="28"/>
          <w:szCs w:val="28"/>
          <w:lang w:eastAsia="fr-BE"/>
        </w:rPr>
        <w:t xml:space="preserve">VRB </w:t>
      </w:r>
      <w:proofErr w:type="spellStart"/>
      <w:r w:rsidRPr="00373599">
        <w:rPr>
          <w:rFonts w:eastAsia="Times New Roman" w:cstheme="minorHAnsi"/>
          <w:b/>
          <w:color w:val="000000"/>
          <w:kern w:val="36"/>
          <w:sz w:val="28"/>
          <w:szCs w:val="28"/>
          <w:lang w:eastAsia="fr-BE"/>
        </w:rPr>
        <w:t>Energy</w:t>
      </w:r>
      <w:proofErr w:type="spellEnd"/>
      <w:r w:rsidRPr="00373599">
        <w:rPr>
          <w:rFonts w:eastAsia="Times New Roman" w:cstheme="minorHAnsi"/>
          <w:b/>
          <w:color w:val="000000"/>
          <w:kern w:val="36"/>
          <w:sz w:val="28"/>
          <w:szCs w:val="28"/>
          <w:lang w:eastAsia="fr-BE"/>
        </w:rPr>
        <w:t xml:space="preserve"> invente le leasing de vanadium</w:t>
      </w:r>
    </w:p>
    <w:p w:rsidR="00373599" w:rsidRPr="00373599" w:rsidRDefault="00373599" w:rsidP="00373599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 fabricant de batteries à flux VRB </w:t>
      </w:r>
      <w:proofErr w:type="spellStart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Energy</w:t>
      </w:r>
      <w:proofErr w:type="spellEnd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 annoncé le 28 juin un partenariat stratégique avec le premier producteur mondial de vanadium, le groupe chinois </w:t>
      </w:r>
      <w:proofErr w:type="spellStart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Pangang</w:t>
      </w:r>
      <w:proofErr w:type="spellEnd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V&amp;T. Ensemble, ils veulent développer le leasing de vanadium sur le marché du stockage des énergies renouvelables.</w:t>
      </w:r>
    </w:p>
    <w:p w:rsidR="00373599" w:rsidRPr="00373599" w:rsidRDefault="00373599" w:rsidP="0037359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VRB </w:t>
      </w:r>
      <w:proofErr w:type="spellStart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Energy</w:t>
      </w:r>
      <w:proofErr w:type="spellEnd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(ex-Pu </w:t>
      </w:r>
      <w:proofErr w:type="spellStart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Neng</w:t>
      </w:r>
      <w:proofErr w:type="spellEnd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), une entreprise chinoise qui fabrique des batteries à flux rachetée par Robert Friedland, a annoncé le 28 juin la sécurisation de son approvisionnement en vanadium auprès du producteur chinois </w:t>
      </w:r>
      <w:proofErr w:type="spellStart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Pangang</w:t>
      </w:r>
      <w:proofErr w:type="spellEnd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V&amp;T. L’originalité du partenariat réside dans le business modèle proposé. Il s’agit d’un partenariat stratégique aux termes duquel le premier producteur mondial de vanadium (qui l’extrait en </w:t>
      </w:r>
      <w:proofErr w:type="spellStart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co-produit</w:t>
      </w:r>
      <w:proofErr w:type="spellEnd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 l’acier) fournira le métal à VRB, qui propose l’électrolyte de vanadium en leasing, un marché qu’ils évaluent à 5 milliards de dollars. </w:t>
      </w:r>
      <w:proofErr w:type="spellStart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Pangang</w:t>
      </w:r>
      <w:proofErr w:type="spellEnd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V&amp;T prend également une participation minoritaire dans VRB </w:t>
      </w:r>
      <w:proofErr w:type="spellStart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Energy</w:t>
      </w:r>
      <w:proofErr w:type="spellEnd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.</w:t>
      </w:r>
    </w:p>
    <w:p w:rsidR="00373599" w:rsidRPr="00373599" w:rsidRDefault="00373599" w:rsidP="0037359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73599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"Le vanadium ne se dégradant pas au fil des ans, d’une commodité, nous faisons un actif"</w:t>
      </w:r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résume Robert Friedland. John Wang, CEO de VRB </w:t>
      </w:r>
      <w:proofErr w:type="spellStart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Energy</w:t>
      </w:r>
      <w:proofErr w:type="spellEnd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confie être en discussion avec la banque ICBC depuis trois mois. </w:t>
      </w:r>
      <w:proofErr w:type="spellStart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Pangang</w:t>
      </w:r>
      <w:proofErr w:type="spellEnd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contribuera également au développement technologique des batteries à flux vanadium Redox. </w:t>
      </w:r>
      <w:r w:rsidRPr="00373599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"Le vanadium représente 60% du coût d'une batterie Redox, et il est entièrement recyclable dans une autre</w:t>
      </w:r>
      <w:r w:rsidRPr="00373599">
        <w:rPr>
          <w:rFonts w:ascii="Arial" w:eastAsia="Times New Roman" w:hAnsi="Arial" w:cs="Arial"/>
          <w:i/>
          <w:iCs/>
          <w:color w:val="000000"/>
          <w:sz w:val="30"/>
          <w:lang w:eastAsia="fr-BE"/>
        </w:rPr>
        <w:t xml:space="preserve"> </w:t>
      </w:r>
      <w:r w:rsidRPr="00373599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batterie"</w:t>
      </w:r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, explique Robert Friedland pour justifier ce modèle.</w:t>
      </w:r>
    </w:p>
    <w:p w:rsidR="00373599" w:rsidRPr="00373599" w:rsidRDefault="00373599" w:rsidP="0037359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Les batteries à flux vanadium redox permettent le stockage massif d’énergie, à une échelle adaptée au stockage des énergies renouvelables sur le réseau électrique. </w:t>
      </w:r>
      <w:r w:rsidRPr="00373599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"Plus de 1000 GW de capacités de batteries vont s’ajouter au marché d’ici 2050 pour intégrer les énergies renouvelables, et notre technologie VRB, qui a demandé 15 ans et 100 millions de dollars de R&amp;D, répond parfaitement à ce besoin"</w:t>
      </w:r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affirme Robert Friedland. Contrairement aux batteries lithium-ion, elle est ininflammable et sa </w:t>
      </w:r>
      <w:proofErr w:type="spellStart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>cyclabilité</w:t>
      </w:r>
      <w:proofErr w:type="spellEnd"/>
      <w:r w:rsidRPr="00373599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est bien supérieure: une batterie peut durer 20 ans sans déperdition d'efficacité.</w:t>
      </w:r>
    </w:p>
    <w:p w:rsidR="00226B99" w:rsidRDefault="00226B99"/>
    <w:sectPr w:rsidR="00226B99" w:rsidSect="00226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D7D5F"/>
    <w:multiLevelType w:val="multilevel"/>
    <w:tmpl w:val="E7C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3599"/>
    <w:rsid w:val="00226B99"/>
    <w:rsid w:val="0037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99"/>
  </w:style>
  <w:style w:type="paragraph" w:styleId="Titre1">
    <w:name w:val="heading 1"/>
    <w:basedOn w:val="Normal"/>
    <w:link w:val="Titre1Car"/>
    <w:uiPriority w:val="9"/>
    <w:qFormat/>
    <w:rsid w:val="00373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373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359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373599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373599"/>
    <w:rPr>
      <w:color w:val="0000FF"/>
      <w:u w:val="single"/>
    </w:rPr>
  </w:style>
  <w:style w:type="character" w:customStyle="1" w:styleId="tagart">
    <w:name w:val="tagart"/>
    <w:basedOn w:val="Policepardfaut"/>
    <w:rsid w:val="00373599"/>
  </w:style>
  <w:style w:type="paragraph" w:customStyle="1" w:styleId="datetime">
    <w:name w:val="datetime"/>
    <w:basedOn w:val="Normal"/>
    <w:rsid w:val="0037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373599"/>
  </w:style>
  <w:style w:type="character" w:customStyle="1" w:styleId="txtsocialbar">
    <w:name w:val="txtsocialbar"/>
    <w:basedOn w:val="Policepardfaut"/>
    <w:rsid w:val="00373599"/>
  </w:style>
  <w:style w:type="paragraph" w:styleId="NormalWeb">
    <w:name w:val="Normal (Web)"/>
    <w:basedOn w:val="Normal"/>
    <w:uiPriority w:val="99"/>
    <w:semiHidden/>
    <w:unhideWhenUsed/>
    <w:rsid w:val="0037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37359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264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2018-07-02T07:33:00Z</dcterms:created>
  <dcterms:modified xsi:type="dcterms:W3CDTF">2018-07-02T07:34:00Z</dcterms:modified>
</cp:coreProperties>
</file>